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31" w:rsidRDefault="00D76D31" w:rsidP="00D76D31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b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 xml:space="preserve">                                                                           </w:t>
      </w:r>
    </w:p>
    <w:p w:rsidR="00D76D31" w:rsidRPr="004050C8" w:rsidRDefault="00D76D31" w:rsidP="00D76D31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b/>
          <w:sz w:val="24"/>
          <w:szCs w:val="24"/>
          <w:lang w:val="en-IN"/>
        </w:rPr>
      </w:pPr>
    </w:p>
    <w:p w:rsidR="00210C4C" w:rsidRPr="00210C4C" w:rsidRDefault="00210C4C" w:rsidP="00D76D31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b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>
        <w:rPr>
          <w:rFonts w:ascii="TAU-Marutham" w:hAnsi="TAU-Marutham" w:cs="TAU-Marutham"/>
          <w:sz w:val="24"/>
          <w:szCs w:val="24"/>
          <w:lang w:val="en-IN"/>
        </w:rPr>
        <w:tab/>
      </w:r>
      <w:r w:rsidRPr="00210C4C">
        <w:rPr>
          <w:rFonts w:ascii="TAU-Marutham" w:hAnsi="TAU-Marutham" w:cs="TAU-Marutham"/>
          <w:b/>
          <w:sz w:val="24"/>
          <w:szCs w:val="24"/>
          <w:lang w:val="en-IN"/>
        </w:rPr>
        <w:t>//</w:t>
      </w:r>
      <w:proofErr w:type="spellStart"/>
      <w:r w:rsidRPr="00210C4C">
        <w:rPr>
          <w:rFonts w:ascii="TAU-Marutham" w:hAnsi="TAU-Marutham" w:cs="TAU-Marutham"/>
          <w:b/>
          <w:sz w:val="24"/>
          <w:szCs w:val="24"/>
          <w:lang w:val="en-IN"/>
        </w:rPr>
        <w:t>தனிகவனம்</w:t>
      </w:r>
      <w:proofErr w:type="spellEnd"/>
      <w:r w:rsidRPr="00210C4C">
        <w:rPr>
          <w:rFonts w:ascii="TAU-Marutham" w:hAnsi="TAU-Marutham" w:cs="TAU-Marutham"/>
          <w:b/>
          <w:sz w:val="24"/>
          <w:szCs w:val="24"/>
          <w:lang w:val="en-IN"/>
        </w:rPr>
        <w:t>//</w:t>
      </w:r>
    </w:p>
    <w:p w:rsidR="00D76D31" w:rsidRDefault="00D76D31" w:rsidP="00D76D31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,</w:t>
      </w: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</w:rPr>
      </w:pP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,க</w:t>
      </w:r>
      <w:proofErr w:type="spellEnd"/>
      <w:r w:rsidRPr="00D4120A">
        <w:rPr>
          <w:rFonts w:ascii="TAU-Marutham" w:hAnsi="TAU-Marutham" w:cs="TAU-Marutham"/>
          <w:sz w:val="24"/>
          <w:szCs w:val="18"/>
        </w:rPr>
        <w:t>.எண</w:t>
      </w:r>
      <w:proofErr w:type="gramEnd"/>
      <w:r w:rsidRPr="00D4120A">
        <w:rPr>
          <w:rFonts w:ascii="TAU-Marutham" w:hAnsi="TAU-Marutham" w:cs="TAU-Marutham"/>
          <w:sz w:val="24"/>
          <w:szCs w:val="18"/>
        </w:rPr>
        <w:t>்.</w:t>
      </w:r>
      <w:r>
        <w:rPr>
          <w:rFonts w:ascii="TAU-Marutham" w:hAnsi="TAU-Marutham" w:cs="TAU-Marutham"/>
          <w:sz w:val="24"/>
          <w:szCs w:val="18"/>
        </w:rPr>
        <w:t>4223 /</w:t>
      </w:r>
      <w:r>
        <w:rPr>
          <w:rFonts w:ascii="TAU-Marutham" w:hAnsi="TAU-Marutham" w:cs="TAU-Marutham"/>
          <w:sz w:val="24"/>
          <w:szCs w:val="18"/>
          <w:lang w:val="en-IN"/>
        </w:rPr>
        <w:t>ஆ3</w:t>
      </w:r>
      <w:r>
        <w:rPr>
          <w:rFonts w:ascii="TAU-Marutham" w:hAnsi="TAU-Marutham" w:cs="TAU-Marutham"/>
          <w:sz w:val="24"/>
          <w:szCs w:val="18"/>
        </w:rPr>
        <w:t xml:space="preserve">/2022   </w:t>
      </w:r>
      <w:proofErr w:type="spellStart"/>
      <w:r>
        <w:rPr>
          <w:rFonts w:ascii="TAU-Marutham" w:hAnsi="TAU-Marutham" w:cs="TAU-Marutham"/>
          <w:sz w:val="24"/>
          <w:szCs w:val="18"/>
        </w:rPr>
        <w:t>நாள்</w:t>
      </w:r>
      <w:proofErr w:type="spellEnd"/>
      <w:r>
        <w:rPr>
          <w:rFonts w:ascii="TAU-Marutham" w:hAnsi="TAU-Marutham" w:cs="TAU-Marutham"/>
          <w:sz w:val="24"/>
          <w:szCs w:val="18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: </w:t>
      </w:r>
      <w:r>
        <w:rPr>
          <w:rFonts w:ascii="TAU-Marutham" w:hAnsi="TAU-Marutham" w:cs="TAU-Marutham"/>
          <w:sz w:val="24"/>
          <w:szCs w:val="18"/>
          <w:lang w:val="en-IN"/>
        </w:rPr>
        <w:t>05.01.2023</w:t>
      </w: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</w:p>
    <w:tbl>
      <w:tblPr>
        <w:tblStyle w:val="TableGrid"/>
        <w:tblW w:w="7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6388"/>
      </w:tblGrid>
      <w:tr w:rsidR="00D76D31" w:rsidRPr="00BA1B80" w:rsidTr="00693246">
        <w:trPr>
          <w:trHeight w:val="879"/>
          <w:jc w:val="center"/>
        </w:trPr>
        <w:tc>
          <w:tcPr>
            <w:tcW w:w="1562" w:type="dxa"/>
          </w:tcPr>
          <w:p w:rsidR="00D76D31" w:rsidRDefault="00D76D31" w:rsidP="00693246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388" w:type="dxa"/>
          </w:tcPr>
          <w:p w:rsidR="00D76D31" w:rsidRDefault="00D76D31" w:rsidP="00693246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மேல்நிலைப்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முதலாம்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ஆண்ட</w:t>
            </w:r>
            <w:proofErr w:type="gram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</w:t>
            </w:r>
            <w:proofErr w:type="gram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ொழிற்கல்வி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பாடப்பிரிவில்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பயிலும்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மாணவர்களுக்கு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210C4C">
              <w:rPr>
                <w:rFonts w:ascii="TAU-Marutham" w:hAnsi="TAU-Marutham" w:cs="TAU-Marutham"/>
                <w:sz w:val="24"/>
                <w:szCs w:val="18"/>
                <w:lang w:val="en-IN"/>
              </w:rPr>
              <w:t>அறிமுக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ப்படுத்தப்பட்டுள்ள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வேலைவாய்</w:t>
            </w:r>
            <w:r w:rsidR="00210C4C">
              <w:rPr>
                <w:rFonts w:ascii="TAU-Marutham" w:hAnsi="TAU-Marutham" w:cs="TAU-Marutham"/>
                <w:sz w:val="24"/>
                <w:szCs w:val="18"/>
                <w:lang w:val="en-IN"/>
              </w:rPr>
              <w:t>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திறன்கள்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பாடத்திற்கு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செய்முறைக்கான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பயிற்சிகள்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வழங்குதல்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</w:p>
          <w:p w:rsidR="00D76D31" w:rsidRDefault="00D76D31" w:rsidP="00693246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</w:tr>
      <w:tr w:rsidR="00D76D31" w:rsidTr="00693246">
        <w:trPr>
          <w:trHeight w:val="879"/>
          <w:jc w:val="center"/>
        </w:trPr>
        <w:tc>
          <w:tcPr>
            <w:tcW w:w="1562" w:type="dxa"/>
          </w:tcPr>
          <w:p w:rsidR="00D76D31" w:rsidRDefault="00D76D31" w:rsidP="00693246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388" w:type="dxa"/>
          </w:tcPr>
          <w:p w:rsidR="00D76D31" w:rsidRDefault="00D76D31" w:rsidP="00D76D31">
            <w:pPr>
              <w:pStyle w:val="NoSpacing"/>
              <w:numPr>
                <w:ilvl w:val="0"/>
                <w:numId w:val="2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அரசாணை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) எண்.125.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ப.க.7(1)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துறை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15.07.2022</w:t>
            </w:r>
          </w:p>
          <w:p w:rsidR="00D76D31" w:rsidRDefault="00D76D31" w:rsidP="00D76D31">
            <w:pPr>
              <w:pStyle w:val="NoSpacing"/>
              <w:numPr>
                <w:ilvl w:val="0"/>
                <w:numId w:val="2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ஆணையரின்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ந.க.எண்.50510/பிடி2/இ2/2021 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                   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21.09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.2022</w:t>
            </w:r>
          </w:p>
          <w:p w:rsidR="00D76D31" w:rsidRDefault="00D76D31" w:rsidP="00D76D31">
            <w:pPr>
              <w:pStyle w:val="NoSpacing"/>
              <w:numPr>
                <w:ilvl w:val="0"/>
                <w:numId w:val="2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மாநிலக்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கல்வியியல்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ஆராய்ச்சி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நிறுவன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1785/இ3/2022,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30.11.2022</w:t>
            </w:r>
          </w:p>
          <w:p w:rsidR="00D76D31" w:rsidRDefault="00D76D31" w:rsidP="00D76D31">
            <w:pPr>
              <w:pStyle w:val="NoSpacing"/>
              <w:numPr>
                <w:ilvl w:val="0"/>
                <w:numId w:val="2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ஆணையரின்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ந.க.எண்.50510/பிடி2/இ2/2021                         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05.12</w:t>
            </w: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.2022</w:t>
            </w:r>
          </w:p>
          <w:p w:rsidR="00D76D31" w:rsidRDefault="00D76D31" w:rsidP="00D76D31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  <w:p w:rsidR="00D76D31" w:rsidRDefault="00D76D31" w:rsidP="00693246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</w:p>
        </w:tc>
      </w:tr>
    </w:tbl>
    <w:p w:rsidR="00D76D31" w:rsidRDefault="00D76D31" w:rsidP="00D76D31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1210FC" w:rsidRDefault="00D76D31" w:rsidP="00D76D31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1இல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 xml:space="preserve">்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ாணும்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அராசணையில்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தெரிவித்துள்ளவாறு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தொழிற்கல்வி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பிரிவில்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பெற்றுள்ள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கணினி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தொழில்நுட்பம்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கணினி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பயன்பாடுகள்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பாடங்களுக்கு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பதிலாக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2022 – 2023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கல்வியாண்டு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வேலைவாய்ப்பு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திறன்கள்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என்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ற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புதிய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210C4C"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 w:rsidR="00210C4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அறிமுகம்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 w:rsidR="001210F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1210FC">
        <w:rPr>
          <w:rFonts w:ascii="TAU-Marutham" w:hAnsi="TAU-Marutham" w:cs="TAU-Marutham"/>
          <w:sz w:val="24"/>
          <w:szCs w:val="18"/>
          <w:lang w:val="en-IN"/>
        </w:rPr>
        <w:t>செய்யப்பட்டுள்ளது</w:t>
      </w:r>
      <w:proofErr w:type="spellEnd"/>
      <w:r w:rsidR="001210FC"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1210FC" w:rsidRDefault="001210FC" w:rsidP="00D76D31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செயல்முறைகளில்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தெரிவித்துள்ளவாறு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வேலைவாய்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ப்பு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திறன்கள்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பாடத்திற்கு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வினாக்கள்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70: 30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என்ற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விகிதாச்சாரத்தில்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70%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ப்</w:t>
      </w:r>
      <w:r>
        <w:rPr>
          <w:rFonts w:ascii="TAU-Marutham" w:hAnsi="TAU-Marutham" w:cs="TAU-Marutham"/>
          <w:sz w:val="24"/>
          <w:szCs w:val="18"/>
          <w:lang w:val="en-IN"/>
        </w:rPr>
        <w:t>பொருளிலிருந்தும்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30 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 xml:space="preserve">%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ெய்முறை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பயிற்சிக்கு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மதிப்பெண்கள்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வழங்கப்பட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குறிப்பிடப்பட்டுள்ளது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1210FC" w:rsidRDefault="001210FC" w:rsidP="00D76D31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இதன்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அடிப்படையில்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செய்முறை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210C4C">
        <w:rPr>
          <w:rFonts w:ascii="TAU-Marutham" w:hAnsi="TAU-Marutham" w:cs="TAU-Marutham"/>
          <w:sz w:val="24"/>
          <w:szCs w:val="18"/>
          <w:lang w:val="en-IN"/>
        </w:rPr>
        <w:t>பயிற்ச்சிக்</w:t>
      </w:r>
      <w:r>
        <w:rPr>
          <w:rFonts w:ascii="TAU-Marutham" w:hAnsi="TAU-Marutham" w:cs="TAU-Marutham"/>
          <w:sz w:val="24"/>
          <w:szCs w:val="18"/>
          <w:lang w:val="en-IN"/>
        </w:rPr>
        <w:t>கான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ப்</w:t>
      </w:r>
      <w:r>
        <w:rPr>
          <w:rFonts w:ascii="TAU-Marutham" w:hAnsi="TAU-Marutham" w:cs="TAU-Marutham"/>
          <w:sz w:val="24"/>
          <w:szCs w:val="18"/>
          <w:lang w:val="en-IN"/>
        </w:rPr>
        <w:t>பகுதி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மாநில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கல்வியியல்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ஆராய்ச்சி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நிறுவன</w:t>
      </w:r>
      <w:r>
        <w:rPr>
          <w:rFonts w:ascii="TAU-Marutham" w:hAnsi="TAU-Marutham" w:cs="TAU-Marutham"/>
          <w:sz w:val="24"/>
          <w:szCs w:val="18"/>
          <w:lang w:val="en-IN"/>
        </w:rPr>
        <w:t>த்தால்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தயாரிக்கப்பட்டுள்ளது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20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மதிப்பெண்கள்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செய்முறைக்கும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(</w:t>
      </w:r>
      <w:proofErr w:type="spellStart"/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தலா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ஒரு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செய்முறைக்கு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) 10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மதிப்பெண்கள்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அகமதிப்பீட்டிற்கும்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(Internal marks)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அளிக்கப்பட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எனவே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தொடர்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நடவடிக்கை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யின்</w:t>
      </w:r>
      <w:proofErr w:type="spellEnd"/>
      <w:r w:rsidR="00210C4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பொருட்டு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மாநில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கல்வியியல்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ஆராய்ச்சி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நிறுவனத்தால்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தயாரிக்கப்பட்ட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செய்முறை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பயிற்சிக்கான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ப்</w:t>
      </w:r>
      <w:r>
        <w:rPr>
          <w:rFonts w:ascii="TAU-Marutham" w:hAnsi="TAU-Marutham" w:cs="TAU-Marutham"/>
          <w:sz w:val="24"/>
          <w:szCs w:val="18"/>
          <w:lang w:val="en-IN"/>
        </w:rPr>
        <w:t>பகுதி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இத்துடன்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இணைத்து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அனுப்பப்படுகிறது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1210FC" w:rsidRDefault="001210FC" w:rsidP="00D76D31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</w:p>
    <w:p w:rsidR="00D76D31" w:rsidRDefault="001210FC" w:rsidP="00D76D31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இணைப்பு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–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செய்முறை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பயிற்சிக்கான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</w:t>
      </w:r>
      <w:r w:rsidR="00210C4C">
        <w:rPr>
          <w:rFonts w:ascii="TAU-Marutham" w:hAnsi="TAU-Marutham" w:cs="TAU-Marutham"/>
          <w:sz w:val="24"/>
          <w:szCs w:val="18"/>
          <w:lang w:val="en-IN"/>
        </w:rPr>
        <w:t>ப்</w:t>
      </w:r>
      <w:r>
        <w:rPr>
          <w:rFonts w:ascii="TAU-Marutham" w:hAnsi="TAU-Marutham" w:cs="TAU-Marutham"/>
          <w:sz w:val="24"/>
          <w:szCs w:val="18"/>
          <w:lang w:val="en-IN"/>
        </w:rPr>
        <w:t>பகுதி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r w:rsidR="001210FC">
        <w:rPr>
          <w:rFonts w:ascii="TAU-Marutham" w:hAnsi="TAU-Marutham" w:cs="TAU-Marutham"/>
          <w:sz w:val="24"/>
          <w:szCs w:val="18"/>
          <w:lang w:val="en-IN"/>
        </w:rPr>
        <w:tab/>
      </w:r>
      <w:r w:rsidR="001210FC">
        <w:rPr>
          <w:rFonts w:ascii="TAU-Marutham" w:hAnsi="TAU-Marutham" w:cs="TAU-Marutham"/>
          <w:sz w:val="24"/>
          <w:szCs w:val="18"/>
          <w:lang w:val="en-IN"/>
        </w:rPr>
        <w:tab/>
      </w:r>
      <w:r w:rsidR="001210FC">
        <w:rPr>
          <w:rFonts w:ascii="TAU-Marutham" w:hAnsi="TAU-Marutham" w:cs="TAU-Marutham"/>
          <w:sz w:val="24"/>
          <w:szCs w:val="18"/>
          <w:lang w:val="en-IN"/>
        </w:rPr>
        <w:tab/>
      </w:r>
      <w:r w:rsidR="001210FC">
        <w:rPr>
          <w:rFonts w:ascii="TAU-Marutham" w:hAnsi="TAU-Marutham" w:cs="TAU-Marutham"/>
          <w:sz w:val="24"/>
          <w:szCs w:val="18"/>
          <w:lang w:val="en-IN"/>
        </w:rPr>
        <w:tab/>
      </w:r>
      <w:r w:rsidR="001210FC">
        <w:rPr>
          <w:rFonts w:ascii="TAU-Marutham" w:hAnsi="TAU-Marutham" w:cs="TAU-Marutham"/>
          <w:sz w:val="24"/>
          <w:szCs w:val="18"/>
          <w:lang w:val="en-IN"/>
        </w:rPr>
        <w:tab/>
      </w:r>
      <w:r w:rsidR="001210FC"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 xml:space="preserve">     (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/-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க.முனுசாமி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)</w:t>
      </w: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– 9.</w:t>
      </w: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D76D31" w:rsidRDefault="00D76D31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பெறுநர்</w:t>
      </w:r>
      <w:proofErr w:type="spellEnd"/>
    </w:p>
    <w:p w:rsidR="00D76D31" w:rsidRDefault="00210C4C" w:rsidP="00D76D31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நிதியுதவி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D76D31">
        <w:rPr>
          <w:rFonts w:ascii="TAU-Marutham" w:hAnsi="TAU-Marutham" w:cs="TAU-Marutham"/>
          <w:sz w:val="24"/>
          <w:szCs w:val="18"/>
          <w:lang w:val="en-IN"/>
        </w:rPr>
        <w:t>மேல்நிலைப்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D76D31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D76D31"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D76D31">
        <w:rPr>
          <w:rFonts w:ascii="TAU-Marutham" w:hAnsi="TAU-Marutham" w:cs="TAU-Marutham"/>
          <w:sz w:val="24"/>
          <w:szCs w:val="18"/>
          <w:lang w:val="en-IN"/>
        </w:rPr>
        <w:t>ஆசிரியர்கள்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>,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                  </w:t>
      </w:r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D76D31"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D76D31"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 w:rsidR="00D76D31">
        <w:rPr>
          <w:rFonts w:ascii="TAU-Marutham" w:hAnsi="TAU-Marutham" w:cs="TAU-Marutham"/>
          <w:sz w:val="24"/>
          <w:szCs w:val="18"/>
          <w:lang w:val="en-IN"/>
        </w:rPr>
        <w:t>.</w:t>
      </w:r>
      <w:bookmarkStart w:id="0" w:name="_GoBack"/>
      <w:bookmarkEnd w:id="0"/>
    </w:p>
    <w:sectPr w:rsidR="00D76D31" w:rsidSect="00210C4C">
      <w:footerReference w:type="default" r:id="rId5"/>
      <w:pgSz w:w="11907" w:h="16839" w:code="9"/>
      <w:pgMar w:top="284" w:right="1440" w:bottom="0" w:left="1440" w:header="720" w:footer="66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210C4C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</w:t>
    </w:r>
    <w:r w:rsidRPr="000F53F3">
      <w:rPr>
        <w:rFonts w:ascii="Latha" w:hAnsi="Latha" w:cs="Latha"/>
        <w:sz w:val="16"/>
        <w:szCs w:val="16"/>
      </w:rPr>
      <w:t>.</w:t>
    </w:r>
    <w:r>
      <w:rPr>
        <w:rFonts w:ascii="Latha" w:hAnsi="Latha" w:cs="Latha"/>
        <w:sz w:val="16"/>
        <w:szCs w:val="16"/>
      </w:rPr>
      <w:t>.</w:t>
    </w:r>
    <w:proofErr w:type="spellStart"/>
    <w:proofErr w:type="gramEnd"/>
    <w:r>
      <w:rPr>
        <w:rFonts w:ascii="Nirmala UI" w:hAnsi="Nirmala UI" w:cs="Nirmala UI"/>
        <w:sz w:val="16"/>
        <w:szCs w:val="16"/>
        <w:lang w:val="en-IN"/>
      </w:rPr>
      <w:t>ரா</w:t>
    </w:r>
    <w:proofErr w:type="spellEnd"/>
    <w:r>
      <w:rPr>
        <w:rFonts w:ascii="Nirmala UI" w:hAnsi="Nirmala UI" w:cs="Nirmala UI"/>
        <w:sz w:val="16"/>
        <w:szCs w:val="16"/>
        <w:lang w:val="en-IN"/>
      </w:rPr>
      <w:t>.,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6D6E"/>
    <w:multiLevelType w:val="hybridMultilevel"/>
    <w:tmpl w:val="CEE602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5E6D"/>
    <w:multiLevelType w:val="hybridMultilevel"/>
    <w:tmpl w:val="FCB8A3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1"/>
    <w:rsid w:val="001210FC"/>
    <w:rsid w:val="00210C4C"/>
    <w:rsid w:val="00D76D31"/>
    <w:rsid w:val="00F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C61BF-4F51-4E7E-8123-4FD0F388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D3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D31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7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D31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D76D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D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4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1</cp:revision>
  <cp:lastPrinted>2023-01-05T09:25:00Z</cp:lastPrinted>
  <dcterms:created xsi:type="dcterms:W3CDTF">2023-01-05T09:01:00Z</dcterms:created>
  <dcterms:modified xsi:type="dcterms:W3CDTF">2023-01-05T09:33:00Z</dcterms:modified>
</cp:coreProperties>
</file>